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4D" w:rsidRDefault="0016369E" w:rsidP="0016369E">
      <w:pPr>
        <w:jc w:val="center"/>
        <w:rPr>
          <w:b/>
          <w:snapToGrid w:val="0"/>
          <w:lang w:eastAsia="en-US"/>
        </w:rPr>
      </w:pPr>
      <w:bookmarkStart w:id="0" w:name="_GoBack"/>
      <w:bookmarkEnd w:id="0"/>
      <w:r w:rsidRPr="0016369E">
        <w:rPr>
          <w:b/>
          <w:snapToGrid w:val="0"/>
          <w:lang w:eastAsia="en-US"/>
        </w:rPr>
        <w:t>Izvješće o provedenom postupku javnog nadmetanja za kupnju dionica</w:t>
      </w:r>
    </w:p>
    <w:p w:rsidR="0016369E" w:rsidRPr="0016369E" w:rsidRDefault="002933CC" w:rsidP="0016369E">
      <w:pPr>
        <w:jc w:val="center"/>
        <w:rPr>
          <w:b/>
          <w:snapToGrid w:val="0"/>
          <w:lang w:eastAsia="en-US"/>
        </w:rPr>
      </w:pPr>
      <w:r>
        <w:rPr>
          <w:b/>
          <w:snapToGrid w:val="0"/>
          <w:lang w:eastAsia="en-US"/>
        </w:rPr>
        <w:t xml:space="preserve"> i poslovnih udjela</w:t>
      </w:r>
      <w:r w:rsidR="0016369E" w:rsidRPr="0016369E">
        <w:rPr>
          <w:b/>
          <w:snapToGrid w:val="0"/>
          <w:lang w:eastAsia="en-US"/>
        </w:rPr>
        <w:t xml:space="preserve"> </w:t>
      </w:r>
      <w:r w:rsidR="006E2734">
        <w:rPr>
          <w:b/>
          <w:snapToGrid w:val="0"/>
          <w:lang w:eastAsia="en-US"/>
        </w:rPr>
        <w:t xml:space="preserve">trgovačkih </w:t>
      </w:r>
      <w:r w:rsidR="0016369E" w:rsidRPr="0016369E">
        <w:rPr>
          <w:b/>
          <w:snapToGrid w:val="0"/>
          <w:lang w:eastAsia="en-US"/>
        </w:rPr>
        <w:t>društava u vlasništvu Republike Hrvatske</w:t>
      </w:r>
      <w:r w:rsidR="006E2734">
        <w:rPr>
          <w:b/>
          <w:snapToGrid w:val="0"/>
          <w:lang w:eastAsia="en-US"/>
        </w:rPr>
        <w:t xml:space="preserve">, </w:t>
      </w:r>
      <w:r w:rsidR="0007632A">
        <w:rPr>
          <w:b/>
          <w:snapToGrid w:val="0"/>
          <w:lang w:eastAsia="en-US"/>
        </w:rPr>
        <w:t>Hrvatskog zavoda za mirovinsko osiguranje</w:t>
      </w:r>
      <w:r w:rsidR="006E2734">
        <w:rPr>
          <w:b/>
          <w:snapToGrid w:val="0"/>
          <w:lang w:eastAsia="en-US"/>
        </w:rPr>
        <w:t xml:space="preserve"> i Centra za restrukturiranje i prodaju</w:t>
      </w:r>
    </w:p>
    <w:p w:rsidR="0016369E" w:rsidRPr="0016369E" w:rsidRDefault="0016369E" w:rsidP="0016369E">
      <w:pPr>
        <w:spacing w:after="120"/>
        <w:jc w:val="both"/>
        <w:rPr>
          <w:snapToGrid w:val="0"/>
          <w:lang w:eastAsia="en-US"/>
        </w:rPr>
      </w:pPr>
    </w:p>
    <w:p w:rsidR="0016369E" w:rsidRPr="0016369E" w:rsidRDefault="0016369E" w:rsidP="0016369E">
      <w:pPr>
        <w:jc w:val="both"/>
        <w:rPr>
          <w:snapToGrid w:val="0"/>
          <w:lang w:eastAsia="en-US"/>
        </w:rPr>
      </w:pPr>
      <w:r w:rsidRPr="0016369E">
        <w:rPr>
          <w:snapToGrid w:val="0"/>
          <w:lang w:eastAsia="en-US"/>
        </w:rPr>
        <w:t>Postupak javnog nadmetanja za prodaju dionica</w:t>
      </w:r>
      <w:r w:rsidR="00586C4D">
        <w:rPr>
          <w:snapToGrid w:val="0"/>
          <w:lang w:eastAsia="en-US"/>
        </w:rPr>
        <w:t xml:space="preserve"> i poslovnih udjela</w:t>
      </w:r>
      <w:r w:rsidRPr="0016369E">
        <w:rPr>
          <w:snapToGrid w:val="0"/>
          <w:lang w:eastAsia="en-US"/>
        </w:rPr>
        <w:t xml:space="preserve"> društava, navedenih u tablici,</w:t>
      </w:r>
      <w:r w:rsidRPr="0016369E">
        <w:t xml:space="preserve"> u vlasništvu Republike Hrvatske</w:t>
      </w:r>
      <w:r w:rsidR="006E2734">
        <w:t xml:space="preserve">, </w:t>
      </w:r>
      <w:r w:rsidR="0007632A">
        <w:t>Hrvatskog zavoda za mirovinsko osiguranje</w:t>
      </w:r>
      <w:r w:rsidR="006E2734">
        <w:rPr>
          <w:snapToGrid w:val="0"/>
          <w:lang w:eastAsia="en-US"/>
        </w:rPr>
        <w:t xml:space="preserve"> i </w:t>
      </w:r>
      <w:r w:rsidR="006E2734" w:rsidRPr="006E2734">
        <w:rPr>
          <w:snapToGrid w:val="0"/>
          <w:lang w:eastAsia="en-US"/>
        </w:rPr>
        <w:t>Centra za restrukturiranje i prodaju (dalje u tekstu: CERP</w:t>
      </w:r>
      <w:r w:rsidR="006E2734">
        <w:rPr>
          <w:snapToGrid w:val="0"/>
          <w:lang w:eastAsia="en-US"/>
        </w:rPr>
        <w:t>)</w:t>
      </w:r>
      <w:r w:rsidR="006E2734" w:rsidRPr="006E2734">
        <w:rPr>
          <w:snapToGrid w:val="0"/>
          <w:lang w:eastAsia="en-US"/>
        </w:rPr>
        <w:t xml:space="preserve"> </w:t>
      </w:r>
      <w:r w:rsidRPr="0016369E">
        <w:rPr>
          <w:snapToGrid w:val="0"/>
          <w:lang w:eastAsia="en-US"/>
        </w:rPr>
        <w:t xml:space="preserve">sukladno odredbama </w:t>
      </w:r>
      <w:r w:rsidRPr="0016369E">
        <w:t xml:space="preserve">Zakona o upravljanju i raspolaganju imovinom u vlasništvu Republike Hrvatske - </w:t>
      </w:r>
      <w:r w:rsidRPr="0016369E">
        <w:rPr>
          <w:color w:val="000000"/>
        </w:rPr>
        <w:t>NN 94</w:t>
      </w:r>
      <w:r w:rsidRPr="0016369E">
        <w:t>/13</w:t>
      </w:r>
      <w:r w:rsidR="002A4407">
        <w:t>, 18/16</w:t>
      </w:r>
      <w:r w:rsidRPr="0016369E">
        <w:t xml:space="preserve"> (dalje u tekstu: Zakon) i </w:t>
      </w:r>
      <w:r w:rsidRPr="0016369E">
        <w:rPr>
          <w:snapToGrid w:val="0"/>
          <w:lang w:eastAsia="en-US"/>
        </w:rPr>
        <w:t>Uredbe o načinu prodaje dionica i poslovnih udjela - NN 129/13, 66/14 (dalje u tekstu: Uredba), započeo je objavom poziva za iskazivanje interesa za kupnju dionica i poslovnih udjela - prvi krug javnog nadmetanja (http://www.cerp.hr/default.aspx?id=</w:t>
      </w:r>
      <w:r w:rsidR="006E2734">
        <w:rPr>
          <w:snapToGrid w:val="0"/>
          <w:lang w:eastAsia="en-US"/>
        </w:rPr>
        <w:t>5502</w:t>
      </w:r>
      <w:r w:rsidRPr="0016369E">
        <w:rPr>
          <w:snapToGrid w:val="0"/>
          <w:lang w:eastAsia="en-US"/>
        </w:rPr>
        <w:t>).</w:t>
      </w:r>
    </w:p>
    <w:p w:rsidR="0016369E" w:rsidRPr="0016369E" w:rsidRDefault="0016369E" w:rsidP="0016369E">
      <w:pPr>
        <w:jc w:val="both"/>
        <w:rPr>
          <w:snapToGrid w:val="0"/>
          <w:lang w:eastAsia="en-US"/>
        </w:rPr>
      </w:pPr>
    </w:p>
    <w:tbl>
      <w:tblPr>
        <w:tblW w:w="9075" w:type="dxa"/>
        <w:tblInd w:w="30" w:type="dxa"/>
        <w:tblLayout w:type="fixed"/>
        <w:tblCellMar>
          <w:left w:w="30" w:type="dxa"/>
          <w:right w:w="30" w:type="dxa"/>
        </w:tblCellMar>
        <w:tblLook w:val="04A0" w:firstRow="1" w:lastRow="0" w:firstColumn="1" w:lastColumn="0" w:noHBand="0" w:noVBand="1"/>
      </w:tblPr>
      <w:tblGrid>
        <w:gridCol w:w="709"/>
        <w:gridCol w:w="3142"/>
        <w:gridCol w:w="990"/>
        <w:gridCol w:w="2421"/>
        <w:gridCol w:w="1813"/>
      </w:tblGrid>
      <w:tr w:rsidR="0016369E" w:rsidRPr="0016369E" w:rsidTr="00255A3D">
        <w:trPr>
          <w:trHeight w:val="581"/>
        </w:trPr>
        <w:tc>
          <w:tcPr>
            <w:tcW w:w="709" w:type="dxa"/>
            <w:tcBorders>
              <w:top w:val="single" w:sz="6" w:space="0" w:color="auto"/>
              <w:left w:val="single" w:sz="6" w:space="0" w:color="auto"/>
              <w:bottom w:val="single" w:sz="6" w:space="0" w:color="auto"/>
              <w:right w:val="single" w:sz="6" w:space="0" w:color="auto"/>
            </w:tcBorders>
            <w:shd w:val="clear" w:color="auto" w:fill="FABF8F"/>
            <w:vAlign w:val="center"/>
            <w:hideMark/>
          </w:tcPr>
          <w:p w:rsidR="0016369E" w:rsidRPr="0016369E" w:rsidRDefault="0016369E" w:rsidP="0016369E">
            <w:pPr>
              <w:spacing w:line="270" w:lineRule="atLeast"/>
              <w:jc w:val="center"/>
              <w:rPr>
                <w:sz w:val="18"/>
                <w:szCs w:val="18"/>
              </w:rPr>
            </w:pPr>
            <w:r w:rsidRPr="0016369E">
              <w:rPr>
                <w:b/>
                <w:bCs/>
                <w:sz w:val="18"/>
                <w:szCs w:val="18"/>
              </w:rPr>
              <w:t>R.br.</w:t>
            </w:r>
          </w:p>
        </w:tc>
        <w:tc>
          <w:tcPr>
            <w:tcW w:w="3142" w:type="dxa"/>
            <w:tcBorders>
              <w:top w:val="single" w:sz="6" w:space="0" w:color="auto"/>
              <w:left w:val="single" w:sz="6" w:space="0" w:color="auto"/>
              <w:bottom w:val="single" w:sz="6" w:space="0" w:color="auto"/>
              <w:right w:val="single" w:sz="6" w:space="0" w:color="auto"/>
            </w:tcBorders>
            <w:shd w:val="clear" w:color="auto" w:fill="FABF8F"/>
            <w:vAlign w:val="center"/>
            <w:hideMark/>
          </w:tcPr>
          <w:p w:rsidR="0016369E" w:rsidRPr="0016369E" w:rsidRDefault="0016369E" w:rsidP="0016369E">
            <w:pPr>
              <w:spacing w:line="270" w:lineRule="atLeast"/>
              <w:jc w:val="center"/>
              <w:rPr>
                <w:sz w:val="18"/>
                <w:szCs w:val="18"/>
              </w:rPr>
            </w:pPr>
            <w:r w:rsidRPr="0016369E">
              <w:rPr>
                <w:b/>
                <w:bCs/>
                <w:sz w:val="18"/>
                <w:szCs w:val="18"/>
              </w:rPr>
              <w:t>Društvo</w:t>
            </w:r>
          </w:p>
        </w:tc>
        <w:tc>
          <w:tcPr>
            <w:tcW w:w="990" w:type="dxa"/>
            <w:tcBorders>
              <w:top w:val="single" w:sz="6" w:space="0" w:color="auto"/>
              <w:left w:val="single" w:sz="6" w:space="0" w:color="auto"/>
              <w:bottom w:val="single" w:sz="6" w:space="0" w:color="auto"/>
              <w:right w:val="single" w:sz="6" w:space="0" w:color="auto"/>
            </w:tcBorders>
            <w:shd w:val="clear" w:color="auto" w:fill="FABF8F"/>
            <w:vAlign w:val="center"/>
            <w:hideMark/>
          </w:tcPr>
          <w:p w:rsidR="0016369E" w:rsidRPr="0016369E" w:rsidRDefault="0016369E" w:rsidP="0016369E">
            <w:pPr>
              <w:spacing w:line="270" w:lineRule="atLeast"/>
              <w:jc w:val="center"/>
              <w:rPr>
                <w:sz w:val="18"/>
                <w:szCs w:val="18"/>
              </w:rPr>
            </w:pPr>
            <w:r w:rsidRPr="0016369E">
              <w:rPr>
                <w:b/>
                <w:bCs/>
                <w:sz w:val="18"/>
                <w:szCs w:val="18"/>
              </w:rPr>
              <w:t>Broj dionica/ poslovnih udjela</w:t>
            </w:r>
          </w:p>
        </w:tc>
        <w:tc>
          <w:tcPr>
            <w:tcW w:w="2421" w:type="dxa"/>
            <w:tcBorders>
              <w:top w:val="single" w:sz="6" w:space="0" w:color="auto"/>
              <w:left w:val="single" w:sz="6" w:space="0" w:color="auto"/>
              <w:bottom w:val="single" w:sz="6" w:space="0" w:color="auto"/>
              <w:right w:val="single" w:sz="6" w:space="0" w:color="auto"/>
            </w:tcBorders>
            <w:shd w:val="clear" w:color="auto" w:fill="FABF8F"/>
            <w:vAlign w:val="center"/>
            <w:hideMark/>
          </w:tcPr>
          <w:p w:rsidR="0016369E" w:rsidRPr="0016369E" w:rsidRDefault="0016369E" w:rsidP="0016369E">
            <w:pPr>
              <w:spacing w:line="270" w:lineRule="atLeast"/>
              <w:jc w:val="center"/>
              <w:rPr>
                <w:sz w:val="18"/>
                <w:szCs w:val="18"/>
              </w:rPr>
            </w:pPr>
            <w:r w:rsidRPr="0016369E">
              <w:rPr>
                <w:b/>
                <w:bCs/>
                <w:sz w:val="18"/>
                <w:szCs w:val="18"/>
              </w:rPr>
              <w:t>Nominalna vrijednost ponuđenih dionica/</w:t>
            </w:r>
            <w:r w:rsidRPr="0016369E">
              <w:rPr>
                <w:sz w:val="18"/>
                <w:szCs w:val="18"/>
              </w:rPr>
              <w:br/>
            </w:r>
            <w:r w:rsidRPr="0016369E">
              <w:rPr>
                <w:b/>
                <w:bCs/>
                <w:sz w:val="18"/>
                <w:szCs w:val="18"/>
              </w:rPr>
              <w:t>poslovnih udjela u HRK</w:t>
            </w:r>
          </w:p>
        </w:tc>
        <w:tc>
          <w:tcPr>
            <w:tcW w:w="1813" w:type="dxa"/>
            <w:tcBorders>
              <w:top w:val="single" w:sz="6" w:space="0" w:color="auto"/>
              <w:left w:val="single" w:sz="6" w:space="0" w:color="auto"/>
              <w:bottom w:val="single" w:sz="6" w:space="0" w:color="auto"/>
              <w:right w:val="single" w:sz="6" w:space="0" w:color="auto"/>
            </w:tcBorders>
            <w:shd w:val="clear" w:color="auto" w:fill="FABF8F"/>
            <w:vAlign w:val="center"/>
            <w:hideMark/>
          </w:tcPr>
          <w:p w:rsidR="0016369E" w:rsidRPr="0016369E" w:rsidRDefault="0016369E" w:rsidP="0016369E">
            <w:pPr>
              <w:spacing w:line="270" w:lineRule="atLeast"/>
              <w:jc w:val="center"/>
              <w:rPr>
                <w:sz w:val="18"/>
                <w:szCs w:val="18"/>
              </w:rPr>
            </w:pPr>
            <w:r w:rsidRPr="0016369E">
              <w:rPr>
                <w:b/>
                <w:bCs/>
                <w:sz w:val="18"/>
                <w:szCs w:val="18"/>
              </w:rPr>
              <w:t>% u temeljnom kapitalu</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AUTOMEHANIKA d.o.o. Karlovac</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91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172.900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1,86</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B-COOP d.o.o. Umag</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222.500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2,81</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BRODOGRADILIŠTE CRES d.d. Cres</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441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164.052</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1,47</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DERMA d.d. Varaždin</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141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56.400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0,33</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5.</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ĐURO ĐAKOVIĆ TUP STANDARD d.d.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3.537</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601.290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7,18</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6.</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ELEKTRODA ZAGREB d.d. Zaprešić</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140</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42.000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0,17</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7.</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GIRK KALUN d.d. Drniš</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4.479</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447.900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2,62</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8.</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GLAS SLAVONIJE d.d. Osijek</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0,001</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9.</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GP KRK d.d. Krk</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172</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89.440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0,22</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10.</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HISTRIA TUBE d.d. Potpićan</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7</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2.800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0,04</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11.</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HOTELI NJIVICE d.o.o. Njivice</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285</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57.000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0,07</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12.</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IKOM d.o.o.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332.300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1,08</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13.</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ILIRIK TREND d.o.o.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124.900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2,89</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14.</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INFORMATIVNI CENTAR RADIO POSTAJA ČAZMA d.o.o. Čazma</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7.500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0,73</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15.</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IVASIM d.o.o. Ivanić-Grad</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33.800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0,36</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16.</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JADRO d.d. Split</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42</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159.600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1,51</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17.</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KAROLINA d.o.o. Osijek</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129.100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0,23</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18.</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KEMIKA d.d.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40</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12.000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0,04</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19.</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KRATEKS d.d. Krapina</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7</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2.660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0,07</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20.</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MARASKA d.d. Zadar</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107</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7.490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0,01</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21.</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MEĐIMURJE IPC d.d. Čakovec</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121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12.100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0,21</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22.</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MEĐIMURJE TEGRA d.d. Čakovec</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34</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6.800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0,10</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D31CB9" w:rsidRDefault="006E2734" w:rsidP="006E2734">
            <w:pPr>
              <w:jc w:val="center"/>
              <w:rPr>
                <w:sz w:val="18"/>
                <w:szCs w:val="18"/>
              </w:rPr>
            </w:pPr>
            <w:r w:rsidRPr="00D31CB9">
              <w:rPr>
                <w:sz w:val="18"/>
                <w:szCs w:val="18"/>
              </w:rPr>
              <w:lastRenderedPageBreak/>
              <w:t>23.</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D31CB9" w:rsidRDefault="006E2734" w:rsidP="006E2734">
            <w:pPr>
              <w:rPr>
                <w:sz w:val="18"/>
                <w:szCs w:val="18"/>
              </w:rPr>
            </w:pPr>
            <w:r w:rsidRPr="00D31CB9">
              <w:rPr>
                <w:sz w:val="18"/>
                <w:szCs w:val="18"/>
              </w:rPr>
              <w:t>MEĐIMURKA d.d. Čakovec</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D31CB9" w:rsidRDefault="006E2734" w:rsidP="006E2734">
            <w:pPr>
              <w:jc w:val="center"/>
              <w:rPr>
                <w:sz w:val="18"/>
                <w:szCs w:val="18"/>
              </w:rPr>
            </w:pPr>
            <w:r w:rsidRPr="00D31CB9">
              <w:rPr>
                <w:sz w:val="18"/>
                <w:szCs w:val="18"/>
              </w:rPr>
              <w:t>122</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D31CB9" w:rsidRDefault="006E2734" w:rsidP="006E2734">
            <w:pPr>
              <w:jc w:val="center"/>
              <w:rPr>
                <w:sz w:val="18"/>
                <w:szCs w:val="18"/>
              </w:rPr>
            </w:pPr>
            <w:r w:rsidRPr="00D31CB9">
              <w:rPr>
                <w:sz w:val="18"/>
                <w:szCs w:val="18"/>
              </w:rPr>
              <w:t>48.800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D31CB9" w:rsidRDefault="006E2734" w:rsidP="006E2734">
            <w:pPr>
              <w:jc w:val="center"/>
              <w:rPr>
                <w:sz w:val="18"/>
                <w:szCs w:val="18"/>
              </w:rPr>
            </w:pPr>
            <w:r w:rsidRPr="00D31CB9">
              <w:rPr>
                <w:sz w:val="18"/>
                <w:szCs w:val="18"/>
              </w:rPr>
              <w:t>0,24</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D31CB9" w:rsidRDefault="006E2734" w:rsidP="006E2734">
            <w:pPr>
              <w:jc w:val="center"/>
              <w:rPr>
                <w:sz w:val="18"/>
                <w:szCs w:val="18"/>
              </w:rPr>
            </w:pPr>
            <w:r w:rsidRPr="00D31CB9">
              <w:rPr>
                <w:sz w:val="18"/>
                <w:szCs w:val="18"/>
              </w:rPr>
              <w:t>24.</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D31CB9" w:rsidRDefault="006E2734" w:rsidP="006E2734">
            <w:pPr>
              <w:rPr>
                <w:sz w:val="18"/>
                <w:szCs w:val="18"/>
              </w:rPr>
            </w:pPr>
            <w:r w:rsidRPr="00D31CB9">
              <w:rPr>
                <w:sz w:val="18"/>
                <w:szCs w:val="18"/>
              </w:rPr>
              <w:t>NARODNI LIST d.d. Zadar</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D31CB9" w:rsidRDefault="006E2734" w:rsidP="006E2734">
            <w:pPr>
              <w:jc w:val="center"/>
              <w:rPr>
                <w:sz w:val="18"/>
                <w:szCs w:val="18"/>
              </w:rPr>
            </w:pPr>
            <w:r w:rsidRPr="00D31CB9">
              <w:rPr>
                <w:sz w:val="18"/>
                <w:szCs w:val="18"/>
              </w:rPr>
              <w:t>246</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D31CB9" w:rsidRDefault="006E2734" w:rsidP="006E2734">
            <w:pPr>
              <w:jc w:val="center"/>
              <w:rPr>
                <w:sz w:val="18"/>
                <w:szCs w:val="18"/>
              </w:rPr>
            </w:pPr>
            <w:r w:rsidRPr="00D31CB9">
              <w:rPr>
                <w:sz w:val="18"/>
                <w:szCs w:val="18"/>
              </w:rPr>
              <w:t>93.480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D31CB9" w:rsidRDefault="006E2734" w:rsidP="006E2734">
            <w:pPr>
              <w:jc w:val="center"/>
              <w:rPr>
                <w:sz w:val="18"/>
                <w:szCs w:val="18"/>
              </w:rPr>
            </w:pPr>
            <w:r w:rsidRPr="00D31CB9">
              <w:rPr>
                <w:sz w:val="18"/>
                <w:szCs w:val="18"/>
              </w:rPr>
              <w:t>7,94</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25.</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ORIOLIK d.d. Oriovac</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192</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13.440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0,09</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26.</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OTV-OTVORENA TELEVIZIJA d.d.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846</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736.020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9,80</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27.</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PAPUK d.d. Našice</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53</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15.900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0,07</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28.</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PP MAKSIMIR export-import d.d.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12</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3.600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0,01</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29.</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PPK karlovačka mesna industrija d.d. Karlovac</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8</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7.040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0,01</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30.</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PREHRANA TRGOVINA d.d.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1.024</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409.600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2,53</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31.</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RIJEČKA INDUSTRIJA ODJEĆE d.o.o. Rijeka</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22</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6.600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0,02</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32.</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SIGMA d.o.o.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828</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331.200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23,42</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33.</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SLUNJ GZPP d.d. Slunj</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1.995</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199.500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8,88</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34.</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SOLANA PAG d.d. Pag</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207</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78.660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0,27</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35.</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SOLUS d.o.o. Vladislavci</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134.300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3,39</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36.</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SPORTSKE NOVOSTI d.d.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8.400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0,07</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37.</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STRAŽAPLASTIKA d.d. Hum Na Sutli</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800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0,003</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38.</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SUPETAR  d.d. Supetar</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309</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6.180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0,89</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39.</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TAKSI-REMONT d.d.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276</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102.120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0,35</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40.</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TEHNIČAR-KOPIRNI CENTAR d.o.o. Split</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13.300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1,13</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41.</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TEKSTIL  d.d. Karlovac</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144</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54.720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0,23</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42.</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TERMOINŽENJERING-MONTAŽA d.d. Bukovje Bistransko</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1.925</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731.500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16,67</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43.</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TIM TOPUSKO d.d. Topusko</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344</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34.400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0,12</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44.</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TISKARA ZELINA  d.d. Sveti Ivan Zelina</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8</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14.400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0,39</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45.</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TRANSPORT-commerce d.d. Mravince</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6</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22.800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0,17</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46.</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TRANŠPED d.d.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7</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26.600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0,97</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47.</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TURIST d.d. Bjelovar</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67</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26.800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0,33</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48.</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UNION  d.d.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33</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125.400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0,49</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49.</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UTENZILIJA d.d.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12.300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0,15</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50.</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VIS KONFEKCIJA d.d. Varaždin</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18</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27.000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0,10</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51.</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VITREX d.o.o. Virovitica</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194.100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1,89</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52.</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VJESNIK-USLUGE d.o.o.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38.100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7,68</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53.</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VODICE d.o.o. Vodice</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330.400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7,17</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54.</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VODOMATERIJAL d.d. Vukovar</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266</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26.600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0,44</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55.</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ZAVOD ZA FOTOGRAMETRIJU d.d.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3</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1.200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0,02</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lastRenderedPageBreak/>
              <w:t>56.</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ZIT d.o.o. Zagreb</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13</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48.100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0,86</w:t>
            </w:r>
          </w:p>
        </w:tc>
      </w:tr>
      <w:tr w:rsidR="006E2734" w:rsidRPr="0016369E" w:rsidTr="00036845">
        <w:trPr>
          <w:trHeight w:val="405"/>
        </w:trPr>
        <w:tc>
          <w:tcPr>
            <w:tcW w:w="709"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57.</w:t>
            </w:r>
          </w:p>
        </w:tc>
        <w:tc>
          <w:tcPr>
            <w:tcW w:w="3142"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rPr>
                <w:sz w:val="18"/>
                <w:szCs w:val="18"/>
              </w:rPr>
            </w:pPr>
            <w:r w:rsidRPr="006E2734">
              <w:rPr>
                <w:sz w:val="18"/>
                <w:szCs w:val="18"/>
              </w:rPr>
              <w:t>ZLATNI RAT d.d. Bol</w:t>
            </w:r>
          </w:p>
        </w:tc>
        <w:tc>
          <w:tcPr>
            <w:tcW w:w="990"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4.403</w:t>
            </w:r>
          </w:p>
        </w:tc>
        <w:tc>
          <w:tcPr>
            <w:tcW w:w="2421"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44.030</w:t>
            </w:r>
          </w:p>
        </w:tc>
        <w:tc>
          <w:tcPr>
            <w:tcW w:w="1813" w:type="dxa"/>
            <w:tcBorders>
              <w:top w:val="single" w:sz="6" w:space="0" w:color="auto"/>
              <w:left w:val="single" w:sz="6" w:space="0" w:color="auto"/>
              <w:bottom w:val="single" w:sz="6" w:space="0" w:color="auto"/>
              <w:right w:val="single" w:sz="6" w:space="0" w:color="auto"/>
            </w:tcBorders>
            <w:vAlign w:val="center"/>
          </w:tcPr>
          <w:p w:rsidR="006E2734" w:rsidRPr="006E2734" w:rsidRDefault="006E2734" w:rsidP="006E2734">
            <w:pPr>
              <w:jc w:val="center"/>
              <w:rPr>
                <w:sz w:val="18"/>
                <w:szCs w:val="18"/>
              </w:rPr>
            </w:pPr>
            <w:r w:rsidRPr="006E2734">
              <w:rPr>
                <w:sz w:val="18"/>
                <w:szCs w:val="18"/>
              </w:rPr>
              <w:t>0,24</w:t>
            </w:r>
          </w:p>
        </w:tc>
      </w:tr>
    </w:tbl>
    <w:p w:rsidR="0016369E" w:rsidRPr="0016369E" w:rsidRDefault="0016369E" w:rsidP="0016369E">
      <w:pPr>
        <w:jc w:val="both"/>
      </w:pPr>
      <w:bookmarkStart w:id="1" w:name="OLE_LINK2"/>
      <w:r w:rsidRPr="0016369E">
        <w:t xml:space="preserve"> </w:t>
      </w:r>
    </w:p>
    <w:p w:rsidR="0016369E" w:rsidRPr="0016369E" w:rsidRDefault="0016369E" w:rsidP="0016369E">
      <w:pPr>
        <w:spacing w:after="120"/>
        <w:jc w:val="both"/>
      </w:pPr>
      <w:r w:rsidRPr="0016369E">
        <w:t>Javni poziv za iskazivanje interesa za kupnju dionica</w:t>
      </w:r>
      <w:r w:rsidR="00DF219E">
        <w:t>/poslovnih udjela</w:t>
      </w:r>
      <w:r w:rsidRPr="0016369E">
        <w:t xml:space="preserve"> gore navedenih društava objavljen je dana </w:t>
      </w:r>
      <w:r w:rsidR="00586C4D">
        <w:t>0</w:t>
      </w:r>
      <w:r w:rsidR="006E2734">
        <w:t>1</w:t>
      </w:r>
      <w:r w:rsidRPr="0016369E">
        <w:t xml:space="preserve">. </w:t>
      </w:r>
      <w:r w:rsidR="006E2734">
        <w:t>ožujka</w:t>
      </w:r>
      <w:r w:rsidRPr="0016369E">
        <w:t xml:space="preserve"> 201</w:t>
      </w:r>
      <w:r w:rsidR="006E2734">
        <w:t>7</w:t>
      </w:r>
      <w:r w:rsidRPr="0016369E">
        <w:t xml:space="preserve">. godine u dnevnim novinama Jutarnji list i na web stranicama HGK i </w:t>
      </w:r>
      <w:r w:rsidR="00586C4D" w:rsidRPr="00586C4D">
        <w:t>CERP</w:t>
      </w:r>
      <w:r w:rsidR="006E2734">
        <w:t>-a</w:t>
      </w:r>
      <w:r w:rsidRPr="0016369E">
        <w:t xml:space="preserve">, temeljem Odluka ravnatelja CERP-a od </w:t>
      </w:r>
      <w:r w:rsidR="00586C4D">
        <w:t>2</w:t>
      </w:r>
      <w:r w:rsidR="006E2734">
        <w:t>2</w:t>
      </w:r>
      <w:r w:rsidRPr="0016369E">
        <w:t xml:space="preserve">. </w:t>
      </w:r>
      <w:r w:rsidR="006E2734">
        <w:t>veljače</w:t>
      </w:r>
      <w:r w:rsidR="00C9348E">
        <w:t xml:space="preserve"> 201</w:t>
      </w:r>
      <w:r w:rsidR="006E2734">
        <w:t>7</w:t>
      </w:r>
      <w:r w:rsidR="00C9348E">
        <w:t>. godine</w:t>
      </w:r>
      <w:r w:rsidR="00586C4D">
        <w:t>.</w:t>
      </w:r>
    </w:p>
    <w:bookmarkEnd w:id="1"/>
    <w:p w:rsidR="0016369E" w:rsidRDefault="0016369E" w:rsidP="00CA689A">
      <w:pPr>
        <w:spacing w:after="120"/>
        <w:jc w:val="both"/>
      </w:pPr>
      <w:r w:rsidRPr="0016369E">
        <w:t xml:space="preserve">Budući da je za društva </w:t>
      </w:r>
      <w:r w:rsidR="002C1682">
        <w:t>BRODOGRADILIŠTE CRES d.d. Cres, DERMA d.d. Varaždin, ĐURO ĐAKOVIĆ TUP STANDARD d.d. Zagreb, ELEKTRODA ZAGREB d.d. Zaprešić, GIRK KALUN d.d. Drniš, GP KRK d.d. Krk, HOTELI NJIVICE d.o.o. Njivice, IKOM d.o.o. Zagreb, INFORMATIVNI CENTAR RADIO POSTAJA ČAZMA d.o.o. Čazma, JADRO d.d. Split, KEMIKA d.d. Zagreb, MARASKA d.d. Zadar, MEĐIMURKA d.d. Čakovec</w:t>
      </w:r>
      <w:r w:rsidR="002C1682" w:rsidRPr="00D31CB9">
        <w:t>, OTV-OTVORENA TELEV</w:t>
      </w:r>
      <w:r w:rsidR="002C1682">
        <w:t xml:space="preserve">IZIJA d.d. Zagreb, PAPUK d.d. Našice, PPK karlovačka mesna industrija d.d. Karlovac, PREHRANA TRGOVINA d.d. Zagreb, SLUNJ GZPP d.d. Slunj, SOLANA PAG d.d. Pag, SPORTSKE NOVOSTI d.d. Zagreb, STRAŽAPLASTIKA d.d. Hum Na Sutli, TAKSI-REMONT d.d. Zagreb, TERMOINŽENJERING-MONTAŽA d.d. Bukovje Bistransko, TIM TOPUSKO d.d. Topusko, TISKARA ZELINA  d.d. Sveti Ivan Zelina, TRANŠPED d.d. Zagreb, UTENZILIJA d.d. Zagreb i ZLATNI RAT d.d. Bol, </w:t>
      </w:r>
      <w:r w:rsidR="0005466D">
        <w:t xml:space="preserve">u </w:t>
      </w:r>
      <w:r w:rsidRPr="0016369E">
        <w:t>prvom krugu javnog nadmetnja iskazan interes, nadležno tijelo CERP-a donijelo je odluku o početnoj cijeni, uvjetima i načinu organizacije postupka javnog nadmetanja za kupnju dionica</w:t>
      </w:r>
      <w:r w:rsidR="0005466D">
        <w:t>/poslovnih udjela</w:t>
      </w:r>
      <w:r w:rsidR="00D31CB9">
        <w:t xml:space="preserve"> pojedinačno za svako društvo, osim za društvo NARODNI LIST d.d. Zadar</w:t>
      </w:r>
      <w:r w:rsidR="002C1682">
        <w:t xml:space="preserve"> </w:t>
      </w:r>
      <w:r w:rsidR="00D31CB9">
        <w:t xml:space="preserve">za koji je postupak u tijeku. </w:t>
      </w:r>
      <w:r w:rsidR="002C1682">
        <w:t>Za ostala društva nije iskazan interes.</w:t>
      </w:r>
    </w:p>
    <w:p w:rsidR="004416D3" w:rsidRPr="00847F1E" w:rsidRDefault="004416D3" w:rsidP="00E653BC">
      <w:pPr>
        <w:spacing w:after="120"/>
        <w:jc w:val="both"/>
      </w:pPr>
      <w:r w:rsidRPr="0016369E">
        <w:t xml:space="preserve">Temeljem odluka, potencijalnim ponuditeljima su </w:t>
      </w:r>
      <w:r w:rsidRPr="00321401">
        <w:t xml:space="preserve">upućeni pozivi za sudjelovanje u postupku javnog nadmetanja (drugi krug javnog nadmetanja). Za </w:t>
      </w:r>
      <w:r w:rsidR="002C1682" w:rsidRPr="002C1682">
        <w:t>BRODOGRADILIŠTE CRES d.d. Cres, DERMA d.d. Varaždin, ELEKTRODA ZAGREB d.d. Zaprešić, GIRK KALUN d.d. Drniš, GP KRK d.d. Krk, HOTELI NJIVICE d.o.o. Njivice, IKOM d.o.o. Zagreb, INFORMATIVNI CENTAR RADIO POSTAJA ČAZMA d.o</w:t>
      </w:r>
      <w:r w:rsidR="002C1682" w:rsidRPr="00005555">
        <w:t>.o. Čazma, KEMIKA d.d. Zagreb, MARASKA d.d. Zadar, MEĐIMURKA d.d. Čakovec, OTV-OTVORENA TELEVIZIJA d.d. Zagreb, PAPUK d.d. Našice, SLUNJ GZPP d.d. Slunj</w:t>
      </w:r>
      <w:r w:rsidR="002C1682" w:rsidRPr="002C1682">
        <w:t xml:space="preserve">, SOLANA PAG d.d. Pag, STRAŽAPLASTIKA d.d. Hum Na Sutli, TAKSI-REMONT d.d. Zagreb, TERMOINŽENJERING-MONTAŽA d.d. Bukovje Bistransko, TIM TOPUSKO d.d. Topusko, TISKARA ZELINA  d.d. Sveti Ivan Zelina, TRANŠPED d.d. Zagreb, UTENZILIJA d.d. Zagreb i ZLATNI RAT d.d. Bol </w:t>
      </w:r>
      <w:r w:rsidRPr="00321401">
        <w:t>ni</w:t>
      </w:r>
      <w:r w:rsidR="00E653BC" w:rsidRPr="00321401">
        <w:t>su</w:t>
      </w:r>
      <w:r w:rsidRPr="00321401">
        <w:t xml:space="preserve"> dostavljene prijave za sudjelovanje u postupku javnog nadmetanja, te je time postupak prodaje navedenih dionica završio, dok su za društva </w:t>
      </w:r>
      <w:r w:rsidR="002C1682" w:rsidRPr="002C1682">
        <w:t>ĐURO ĐAKOVIĆ TUP STANDARD d.d. Zagreb</w:t>
      </w:r>
      <w:r w:rsidR="002C1682">
        <w:t>,</w:t>
      </w:r>
      <w:r w:rsidR="002C1682" w:rsidRPr="002C1682">
        <w:t xml:space="preserve"> JADRO d.d. Split</w:t>
      </w:r>
      <w:r w:rsidR="002C1682">
        <w:t xml:space="preserve">, </w:t>
      </w:r>
      <w:r w:rsidR="002C1682" w:rsidRPr="002C1682">
        <w:t>PPK karlovačka mesna industrija d.d. Karlovac, PREHRANA TRGOVINA d.d. Zagreb</w:t>
      </w:r>
      <w:r w:rsidR="002C1682">
        <w:t xml:space="preserve"> i </w:t>
      </w:r>
      <w:r w:rsidR="002C1682" w:rsidRPr="002C1682">
        <w:t>SPORTSKE NOVOSTI d.d. Zagreb</w:t>
      </w:r>
      <w:r w:rsidR="002C1682">
        <w:t xml:space="preserve"> </w:t>
      </w:r>
      <w:r w:rsidRPr="00E653BC">
        <w:t xml:space="preserve">dostavljene valjane </w:t>
      </w:r>
      <w:r w:rsidRPr="00847F1E">
        <w:t>prijave.</w:t>
      </w:r>
    </w:p>
    <w:p w:rsidR="004416D3" w:rsidRPr="0016369E" w:rsidRDefault="004416D3" w:rsidP="0059319F">
      <w:pPr>
        <w:spacing w:after="120"/>
        <w:jc w:val="both"/>
      </w:pPr>
      <w:r w:rsidRPr="00847F1E">
        <w:t xml:space="preserve">Dana </w:t>
      </w:r>
      <w:r w:rsidR="00847F1E" w:rsidRPr="00847F1E">
        <w:t>1</w:t>
      </w:r>
      <w:r w:rsidR="0097133C" w:rsidRPr="00847F1E">
        <w:t>2</w:t>
      </w:r>
      <w:r w:rsidRPr="00847F1E">
        <w:t xml:space="preserve">. </w:t>
      </w:r>
      <w:r w:rsidR="00847F1E" w:rsidRPr="00847F1E">
        <w:t>svibnja</w:t>
      </w:r>
      <w:r w:rsidRPr="00847F1E">
        <w:t xml:space="preserve"> 201</w:t>
      </w:r>
      <w:r w:rsidR="00847F1E" w:rsidRPr="00847F1E">
        <w:t>7</w:t>
      </w:r>
      <w:r w:rsidRPr="00847F1E">
        <w:t>. godine</w:t>
      </w:r>
      <w:r w:rsidR="0097133C" w:rsidRPr="00847F1E">
        <w:t xml:space="preserve"> i 2</w:t>
      </w:r>
      <w:r w:rsidR="00847F1E" w:rsidRPr="00847F1E">
        <w:t>6</w:t>
      </w:r>
      <w:r w:rsidR="0097133C" w:rsidRPr="00847F1E">
        <w:t xml:space="preserve">. </w:t>
      </w:r>
      <w:r w:rsidR="00847F1E" w:rsidRPr="00847F1E">
        <w:t xml:space="preserve">svibnja </w:t>
      </w:r>
      <w:r w:rsidR="0097133C" w:rsidRPr="00847F1E">
        <w:t>201</w:t>
      </w:r>
      <w:r w:rsidR="00847F1E" w:rsidRPr="00847F1E">
        <w:t>7</w:t>
      </w:r>
      <w:r w:rsidR="0097133C" w:rsidRPr="00847F1E">
        <w:t>. godine</w:t>
      </w:r>
      <w:r w:rsidRPr="00847F1E">
        <w:t xml:space="preserve"> održan</w:t>
      </w:r>
      <w:r w:rsidR="0097133C" w:rsidRPr="00847F1E">
        <w:t>i</w:t>
      </w:r>
      <w:r w:rsidRPr="00847F1E">
        <w:t xml:space="preserve"> </w:t>
      </w:r>
      <w:r w:rsidR="0097133C" w:rsidRPr="00847F1E">
        <w:t>su</w:t>
      </w:r>
      <w:r w:rsidRPr="00847F1E">
        <w:t xml:space="preserve"> postup</w:t>
      </w:r>
      <w:r w:rsidR="0097133C" w:rsidRPr="00847F1E">
        <w:t>ci</w:t>
      </w:r>
      <w:r w:rsidR="008F52CD" w:rsidRPr="00847F1E">
        <w:t xml:space="preserve"> javnog nadmetanja, te su</w:t>
      </w:r>
      <w:r w:rsidRPr="00847F1E">
        <w:t xml:space="preserve"> prodan</w:t>
      </w:r>
      <w:r w:rsidR="008F52CD" w:rsidRPr="00847F1E">
        <w:t>e dionice/</w:t>
      </w:r>
      <w:r w:rsidRPr="00847F1E">
        <w:t>poslovni udjel</w:t>
      </w:r>
      <w:r w:rsidR="008F52CD" w:rsidRPr="00847F1E">
        <w:t>i</w:t>
      </w:r>
      <w:r w:rsidRPr="00847F1E">
        <w:t xml:space="preserve"> trgovačk</w:t>
      </w:r>
      <w:r w:rsidR="008F52CD" w:rsidRPr="00847F1E">
        <w:t>ih</w:t>
      </w:r>
      <w:r w:rsidRPr="00847F1E">
        <w:t xml:space="preserve"> društ</w:t>
      </w:r>
      <w:r w:rsidR="008F52CD" w:rsidRPr="00847F1E">
        <w:t>a</w:t>
      </w:r>
      <w:r w:rsidRPr="00847F1E">
        <w:t>va kako slijedi</w:t>
      </w:r>
      <w:r w:rsidRPr="000B064C">
        <w:t>:</w:t>
      </w:r>
      <w:r w:rsidR="002B38CF">
        <w:t xml:space="preserve"> </w:t>
      </w:r>
    </w:p>
    <w:tbl>
      <w:tblPr>
        <w:tblW w:w="9075" w:type="dxa"/>
        <w:tblInd w:w="108"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1E0" w:firstRow="1" w:lastRow="1" w:firstColumn="1" w:lastColumn="1" w:noHBand="0" w:noVBand="0"/>
      </w:tblPr>
      <w:tblGrid>
        <w:gridCol w:w="2694"/>
        <w:gridCol w:w="1984"/>
        <w:gridCol w:w="2126"/>
        <w:gridCol w:w="2271"/>
      </w:tblGrid>
      <w:tr w:rsidR="004416D3" w:rsidRPr="0016369E" w:rsidTr="000918DD">
        <w:trPr>
          <w:trHeight w:val="567"/>
        </w:trPr>
        <w:tc>
          <w:tcPr>
            <w:tcW w:w="2694" w:type="dxa"/>
            <w:tcBorders>
              <w:top w:val="dashed" w:sz="4" w:space="0" w:color="808080"/>
              <w:left w:val="dashed" w:sz="4" w:space="0" w:color="808080"/>
              <w:bottom w:val="dashed" w:sz="4" w:space="0" w:color="808080"/>
              <w:right w:val="dashed" w:sz="4" w:space="0" w:color="808080"/>
            </w:tcBorders>
            <w:shd w:val="clear" w:color="auto" w:fill="FFCC99"/>
            <w:vAlign w:val="center"/>
            <w:hideMark/>
          </w:tcPr>
          <w:p w:rsidR="004416D3" w:rsidRPr="0016369E" w:rsidRDefault="004416D3" w:rsidP="00380198">
            <w:pPr>
              <w:jc w:val="center"/>
              <w:rPr>
                <w:b/>
                <w:sz w:val="20"/>
                <w:szCs w:val="20"/>
              </w:rPr>
            </w:pPr>
            <w:r w:rsidRPr="0016369E">
              <w:rPr>
                <w:b/>
                <w:sz w:val="20"/>
                <w:szCs w:val="20"/>
              </w:rPr>
              <w:t>Predmet javnog nadmetanja</w:t>
            </w:r>
          </w:p>
        </w:tc>
        <w:tc>
          <w:tcPr>
            <w:tcW w:w="1984" w:type="dxa"/>
            <w:tcBorders>
              <w:top w:val="dashed" w:sz="4" w:space="0" w:color="808080"/>
              <w:left w:val="dashed" w:sz="4" w:space="0" w:color="808080"/>
              <w:bottom w:val="dashed" w:sz="4" w:space="0" w:color="808080"/>
              <w:right w:val="dashed" w:sz="4" w:space="0" w:color="808080"/>
            </w:tcBorders>
            <w:shd w:val="clear" w:color="auto" w:fill="FFCC99"/>
            <w:vAlign w:val="center"/>
            <w:hideMark/>
          </w:tcPr>
          <w:p w:rsidR="004416D3" w:rsidRPr="0016369E" w:rsidRDefault="004416D3" w:rsidP="00380198">
            <w:pPr>
              <w:jc w:val="center"/>
              <w:rPr>
                <w:b/>
                <w:sz w:val="20"/>
                <w:szCs w:val="20"/>
              </w:rPr>
            </w:pPr>
            <w:r>
              <w:rPr>
                <w:b/>
                <w:sz w:val="20"/>
                <w:szCs w:val="20"/>
              </w:rPr>
              <w:t>Broj dionica / poslovnih udjela</w:t>
            </w:r>
          </w:p>
        </w:tc>
        <w:tc>
          <w:tcPr>
            <w:tcW w:w="2126" w:type="dxa"/>
            <w:tcBorders>
              <w:top w:val="dashed" w:sz="4" w:space="0" w:color="808080"/>
              <w:left w:val="dashed" w:sz="4" w:space="0" w:color="808080"/>
              <w:bottom w:val="dashed" w:sz="4" w:space="0" w:color="808080"/>
              <w:right w:val="dashed" w:sz="4" w:space="0" w:color="808080"/>
            </w:tcBorders>
            <w:shd w:val="clear" w:color="auto" w:fill="FFCC99"/>
            <w:vAlign w:val="center"/>
            <w:hideMark/>
          </w:tcPr>
          <w:p w:rsidR="004416D3" w:rsidRPr="0016369E" w:rsidRDefault="002C1682" w:rsidP="002C1682">
            <w:pPr>
              <w:jc w:val="center"/>
              <w:rPr>
                <w:b/>
                <w:sz w:val="20"/>
                <w:szCs w:val="20"/>
              </w:rPr>
            </w:pPr>
            <w:r w:rsidRPr="002C1682">
              <w:rPr>
                <w:b/>
                <w:sz w:val="20"/>
                <w:szCs w:val="20"/>
              </w:rPr>
              <w:t xml:space="preserve">Ukupna nominalna vrijednost u </w:t>
            </w:r>
            <w:r>
              <w:rPr>
                <w:b/>
                <w:sz w:val="20"/>
                <w:szCs w:val="20"/>
              </w:rPr>
              <w:t>kn</w:t>
            </w:r>
          </w:p>
        </w:tc>
        <w:tc>
          <w:tcPr>
            <w:tcW w:w="2271" w:type="dxa"/>
            <w:tcBorders>
              <w:top w:val="dashed" w:sz="4" w:space="0" w:color="808080"/>
              <w:left w:val="dashed" w:sz="4" w:space="0" w:color="808080"/>
              <w:bottom w:val="dashed" w:sz="4" w:space="0" w:color="808080"/>
              <w:right w:val="dashed" w:sz="4" w:space="0" w:color="808080"/>
            </w:tcBorders>
            <w:shd w:val="clear" w:color="auto" w:fill="FFCC99"/>
            <w:vAlign w:val="center"/>
            <w:hideMark/>
          </w:tcPr>
          <w:p w:rsidR="004416D3" w:rsidRPr="0016369E" w:rsidRDefault="002C1682" w:rsidP="00380198">
            <w:pPr>
              <w:jc w:val="center"/>
              <w:rPr>
                <w:b/>
                <w:sz w:val="20"/>
                <w:szCs w:val="20"/>
              </w:rPr>
            </w:pPr>
            <w:r w:rsidRPr="002C1682">
              <w:rPr>
                <w:b/>
                <w:sz w:val="20"/>
                <w:szCs w:val="20"/>
              </w:rPr>
              <w:t>% udjela u temeljnom kapitalu</w:t>
            </w:r>
          </w:p>
        </w:tc>
      </w:tr>
      <w:tr w:rsidR="0094608B" w:rsidRPr="0016369E" w:rsidTr="000918DD">
        <w:trPr>
          <w:trHeight w:val="465"/>
        </w:trPr>
        <w:tc>
          <w:tcPr>
            <w:tcW w:w="2694"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rPr>
                <w:sz w:val="18"/>
                <w:szCs w:val="18"/>
              </w:rPr>
            </w:pPr>
            <w:r w:rsidRPr="006E2734">
              <w:rPr>
                <w:sz w:val="18"/>
                <w:szCs w:val="18"/>
              </w:rPr>
              <w:t>ĐURO ĐAKOVIĆ TUP STANDARD d.d. Zagreb</w:t>
            </w:r>
          </w:p>
        </w:tc>
        <w:tc>
          <w:tcPr>
            <w:tcW w:w="1984"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3.537</w:t>
            </w:r>
          </w:p>
        </w:tc>
        <w:tc>
          <w:tcPr>
            <w:tcW w:w="2126"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601.290</w:t>
            </w:r>
          </w:p>
        </w:tc>
        <w:tc>
          <w:tcPr>
            <w:tcW w:w="2271"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7,18</w:t>
            </w:r>
          </w:p>
        </w:tc>
      </w:tr>
      <w:tr w:rsidR="0094608B" w:rsidRPr="0016369E" w:rsidTr="000918DD">
        <w:trPr>
          <w:trHeight w:val="465"/>
        </w:trPr>
        <w:tc>
          <w:tcPr>
            <w:tcW w:w="2694"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rPr>
                <w:sz w:val="18"/>
                <w:szCs w:val="18"/>
              </w:rPr>
            </w:pPr>
            <w:r w:rsidRPr="006E2734">
              <w:rPr>
                <w:sz w:val="18"/>
                <w:szCs w:val="18"/>
              </w:rPr>
              <w:t>JADRO d.d. Split</w:t>
            </w:r>
          </w:p>
        </w:tc>
        <w:tc>
          <w:tcPr>
            <w:tcW w:w="1984"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42</w:t>
            </w:r>
          </w:p>
        </w:tc>
        <w:tc>
          <w:tcPr>
            <w:tcW w:w="2126"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159.600</w:t>
            </w:r>
          </w:p>
        </w:tc>
        <w:tc>
          <w:tcPr>
            <w:tcW w:w="2271"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1,51</w:t>
            </w:r>
          </w:p>
        </w:tc>
      </w:tr>
      <w:tr w:rsidR="0094608B" w:rsidRPr="0016369E" w:rsidTr="000918DD">
        <w:trPr>
          <w:trHeight w:val="465"/>
        </w:trPr>
        <w:tc>
          <w:tcPr>
            <w:tcW w:w="2694"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rPr>
                <w:sz w:val="18"/>
                <w:szCs w:val="18"/>
              </w:rPr>
            </w:pPr>
            <w:r w:rsidRPr="006E2734">
              <w:rPr>
                <w:sz w:val="18"/>
                <w:szCs w:val="18"/>
              </w:rPr>
              <w:t>PPK karlovačka mesna industrija d.d. Karlovac</w:t>
            </w:r>
          </w:p>
        </w:tc>
        <w:tc>
          <w:tcPr>
            <w:tcW w:w="1984"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8</w:t>
            </w:r>
          </w:p>
        </w:tc>
        <w:tc>
          <w:tcPr>
            <w:tcW w:w="2126"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7.040</w:t>
            </w:r>
          </w:p>
        </w:tc>
        <w:tc>
          <w:tcPr>
            <w:tcW w:w="2271"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0,01</w:t>
            </w:r>
          </w:p>
        </w:tc>
      </w:tr>
      <w:tr w:rsidR="0094608B" w:rsidRPr="0016369E" w:rsidTr="000918DD">
        <w:trPr>
          <w:trHeight w:val="465"/>
        </w:trPr>
        <w:tc>
          <w:tcPr>
            <w:tcW w:w="2694"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rPr>
                <w:sz w:val="18"/>
                <w:szCs w:val="18"/>
              </w:rPr>
            </w:pPr>
            <w:r w:rsidRPr="006E2734">
              <w:rPr>
                <w:sz w:val="18"/>
                <w:szCs w:val="18"/>
              </w:rPr>
              <w:t>PREHRANA TRGOVINA d.d. Zagreb</w:t>
            </w:r>
          </w:p>
        </w:tc>
        <w:tc>
          <w:tcPr>
            <w:tcW w:w="1984"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1.024</w:t>
            </w:r>
          </w:p>
        </w:tc>
        <w:tc>
          <w:tcPr>
            <w:tcW w:w="2126"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409.600</w:t>
            </w:r>
          </w:p>
        </w:tc>
        <w:tc>
          <w:tcPr>
            <w:tcW w:w="2271"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2,53</w:t>
            </w:r>
          </w:p>
        </w:tc>
      </w:tr>
      <w:tr w:rsidR="0094608B" w:rsidRPr="0016369E" w:rsidTr="000918DD">
        <w:trPr>
          <w:trHeight w:val="465"/>
        </w:trPr>
        <w:tc>
          <w:tcPr>
            <w:tcW w:w="2694"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rPr>
                <w:sz w:val="18"/>
                <w:szCs w:val="18"/>
              </w:rPr>
            </w:pPr>
            <w:r w:rsidRPr="006E2734">
              <w:rPr>
                <w:sz w:val="18"/>
                <w:szCs w:val="18"/>
              </w:rPr>
              <w:t>SPORTSKE NOVOSTI d.d. Zagreb</w:t>
            </w:r>
          </w:p>
        </w:tc>
        <w:tc>
          <w:tcPr>
            <w:tcW w:w="1984"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21</w:t>
            </w:r>
          </w:p>
        </w:tc>
        <w:tc>
          <w:tcPr>
            <w:tcW w:w="2126"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8.400</w:t>
            </w:r>
          </w:p>
        </w:tc>
        <w:tc>
          <w:tcPr>
            <w:tcW w:w="2271" w:type="dxa"/>
            <w:tcBorders>
              <w:top w:val="dashed" w:sz="4" w:space="0" w:color="808080"/>
              <w:left w:val="dashed" w:sz="4" w:space="0" w:color="808080"/>
              <w:bottom w:val="dashed" w:sz="4" w:space="0" w:color="808080"/>
              <w:right w:val="dashed" w:sz="4" w:space="0" w:color="808080"/>
            </w:tcBorders>
            <w:vAlign w:val="center"/>
          </w:tcPr>
          <w:p w:rsidR="0094608B" w:rsidRPr="006E2734" w:rsidRDefault="0094608B" w:rsidP="00834476">
            <w:pPr>
              <w:jc w:val="center"/>
              <w:rPr>
                <w:sz w:val="18"/>
                <w:szCs w:val="18"/>
              </w:rPr>
            </w:pPr>
            <w:r w:rsidRPr="006E2734">
              <w:rPr>
                <w:sz w:val="18"/>
                <w:szCs w:val="18"/>
              </w:rPr>
              <w:t>0,07</w:t>
            </w:r>
          </w:p>
        </w:tc>
      </w:tr>
    </w:tbl>
    <w:p w:rsidR="00085FC8" w:rsidRDefault="00085FC8" w:rsidP="004416D3">
      <w:pPr>
        <w:spacing w:after="120"/>
        <w:jc w:val="both"/>
      </w:pPr>
    </w:p>
    <w:sectPr w:rsidR="00085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E693D"/>
    <w:multiLevelType w:val="hybridMultilevel"/>
    <w:tmpl w:val="5344D622"/>
    <w:lvl w:ilvl="0" w:tplc="0409000D">
      <w:start w:val="1"/>
      <w:numFmt w:val="bullet"/>
      <w:lvlText w:val=""/>
      <w:lvlJc w:val="left"/>
      <w:pPr>
        <w:tabs>
          <w:tab w:val="num" w:pos="1080"/>
        </w:tabs>
        <w:ind w:left="1080" w:hanging="360"/>
      </w:pPr>
      <w:rPr>
        <w:rFonts w:ascii="Wingdings" w:hAnsi="Wingdings" w:hint="default"/>
        <w:sz w:val="16"/>
        <w:szCs w:val="16"/>
      </w:rPr>
    </w:lvl>
    <w:lvl w:ilvl="1" w:tplc="041A000B">
      <w:start w:val="1"/>
      <w:numFmt w:val="bullet"/>
      <w:lvlText w:val=""/>
      <w:lvlJc w:val="left"/>
      <w:pPr>
        <w:tabs>
          <w:tab w:val="num" w:pos="1440"/>
        </w:tabs>
        <w:ind w:left="1440" w:hanging="360"/>
      </w:pPr>
      <w:rPr>
        <w:rFonts w:ascii="Wingdings" w:hAnsi="Wingdings" w:hint="default"/>
        <w:sz w:val="16"/>
        <w:szCs w:val="16"/>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27"/>
    <w:rsid w:val="00005555"/>
    <w:rsid w:val="00036845"/>
    <w:rsid w:val="00045941"/>
    <w:rsid w:val="0005466D"/>
    <w:rsid w:val="0005479E"/>
    <w:rsid w:val="0007632A"/>
    <w:rsid w:val="00085FC8"/>
    <w:rsid w:val="000918DD"/>
    <w:rsid w:val="000B064C"/>
    <w:rsid w:val="000F5EB4"/>
    <w:rsid w:val="00117127"/>
    <w:rsid w:val="00161729"/>
    <w:rsid w:val="0016369E"/>
    <w:rsid w:val="00175776"/>
    <w:rsid w:val="001D0ED2"/>
    <w:rsid w:val="001D5AC0"/>
    <w:rsid w:val="00223BB8"/>
    <w:rsid w:val="00246289"/>
    <w:rsid w:val="0025486C"/>
    <w:rsid w:val="00255A3D"/>
    <w:rsid w:val="00273BB6"/>
    <w:rsid w:val="002933CC"/>
    <w:rsid w:val="002A4407"/>
    <w:rsid w:val="002B008B"/>
    <w:rsid w:val="002B38CF"/>
    <w:rsid w:val="002C1682"/>
    <w:rsid w:val="002E565D"/>
    <w:rsid w:val="00321401"/>
    <w:rsid w:val="00370C6B"/>
    <w:rsid w:val="00372C75"/>
    <w:rsid w:val="003C214C"/>
    <w:rsid w:val="003E14C8"/>
    <w:rsid w:val="003F6E78"/>
    <w:rsid w:val="004416D3"/>
    <w:rsid w:val="00453E37"/>
    <w:rsid w:val="004C21BA"/>
    <w:rsid w:val="004E31BB"/>
    <w:rsid w:val="0052724E"/>
    <w:rsid w:val="0054442F"/>
    <w:rsid w:val="00581BB4"/>
    <w:rsid w:val="005851A4"/>
    <w:rsid w:val="00586C4D"/>
    <w:rsid w:val="00587357"/>
    <w:rsid w:val="0059319F"/>
    <w:rsid w:val="005A1088"/>
    <w:rsid w:val="005B1B6E"/>
    <w:rsid w:val="006150F6"/>
    <w:rsid w:val="00636BD5"/>
    <w:rsid w:val="00693186"/>
    <w:rsid w:val="006A4FC6"/>
    <w:rsid w:val="006D7E46"/>
    <w:rsid w:val="006E2734"/>
    <w:rsid w:val="006E6486"/>
    <w:rsid w:val="00717238"/>
    <w:rsid w:val="00740BDB"/>
    <w:rsid w:val="00750CD6"/>
    <w:rsid w:val="00755354"/>
    <w:rsid w:val="00786E23"/>
    <w:rsid w:val="00797BFA"/>
    <w:rsid w:val="007A2312"/>
    <w:rsid w:val="007B1787"/>
    <w:rsid w:val="007B4E37"/>
    <w:rsid w:val="007F034E"/>
    <w:rsid w:val="00803AC1"/>
    <w:rsid w:val="0081184F"/>
    <w:rsid w:val="00847F1E"/>
    <w:rsid w:val="00861E27"/>
    <w:rsid w:val="00892E3F"/>
    <w:rsid w:val="008F52CD"/>
    <w:rsid w:val="009112A2"/>
    <w:rsid w:val="0092611B"/>
    <w:rsid w:val="009328FB"/>
    <w:rsid w:val="0094608B"/>
    <w:rsid w:val="00953787"/>
    <w:rsid w:val="0096065B"/>
    <w:rsid w:val="0097133C"/>
    <w:rsid w:val="009A5349"/>
    <w:rsid w:val="009D333E"/>
    <w:rsid w:val="009F5C9C"/>
    <w:rsid w:val="00A16C15"/>
    <w:rsid w:val="00A2563F"/>
    <w:rsid w:val="00A312B4"/>
    <w:rsid w:val="00A33213"/>
    <w:rsid w:val="00A82D79"/>
    <w:rsid w:val="00A95D6A"/>
    <w:rsid w:val="00AA34A6"/>
    <w:rsid w:val="00AB0352"/>
    <w:rsid w:val="00AF0EA6"/>
    <w:rsid w:val="00AF62B4"/>
    <w:rsid w:val="00B26427"/>
    <w:rsid w:val="00BA040E"/>
    <w:rsid w:val="00C03606"/>
    <w:rsid w:val="00C03E01"/>
    <w:rsid w:val="00C43CE4"/>
    <w:rsid w:val="00C466B0"/>
    <w:rsid w:val="00C71689"/>
    <w:rsid w:val="00C9348E"/>
    <w:rsid w:val="00C9544A"/>
    <w:rsid w:val="00CA689A"/>
    <w:rsid w:val="00CA6EEE"/>
    <w:rsid w:val="00CB0170"/>
    <w:rsid w:val="00D01E07"/>
    <w:rsid w:val="00D1537C"/>
    <w:rsid w:val="00D31CB9"/>
    <w:rsid w:val="00D83AC8"/>
    <w:rsid w:val="00DA7A70"/>
    <w:rsid w:val="00DC0720"/>
    <w:rsid w:val="00DE1F10"/>
    <w:rsid w:val="00DF219E"/>
    <w:rsid w:val="00E03CD3"/>
    <w:rsid w:val="00E653BC"/>
    <w:rsid w:val="00E742E3"/>
    <w:rsid w:val="00E826E0"/>
    <w:rsid w:val="00E84DA6"/>
    <w:rsid w:val="00E87C6F"/>
    <w:rsid w:val="00E958E9"/>
    <w:rsid w:val="00EA21EB"/>
    <w:rsid w:val="00F07D9C"/>
    <w:rsid w:val="00F2288F"/>
    <w:rsid w:val="00F23658"/>
    <w:rsid w:val="00F27E7A"/>
    <w:rsid w:val="00F4117F"/>
    <w:rsid w:val="00F609BB"/>
    <w:rsid w:val="00FA5F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27"/>
    <w:pPr>
      <w:spacing w:after="0" w:line="240" w:lineRule="auto"/>
    </w:pPr>
    <w:rPr>
      <w:rFonts w:eastAsia="Times New Roman"/>
      <w:lang w:eastAsia="hr-HR"/>
    </w:rPr>
  </w:style>
  <w:style w:type="paragraph" w:styleId="Heading1">
    <w:name w:val="heading 1"/>
    <w:basedOn w:val="Normal"/>
    <w:next w:val="Normal"/>
    <w:link w:val="Heading1Char"/>
    <w:qFormat/>
    <w:rsid w:val="00B26427"/>
    <w:pPr>
      <w:keepNext/>
      <w:ind w:left="4536"/>
      <w:outlineLvl w:val="0"/>
    </w:pPr>
    <w:rPr>
      <w:rFonts w:ascii="Times New Roman" w:hAnsi="Times New Roman" w:cs="Times New Roman"/>
      <w:b/>
      <w:sz w:val="26"/>
      <w:szCs w:val="20"/>
      <w:lang w:eastAsia="zh-CN"/>
    </w:rPr>
  </w:style>
  <w:style w:type="paragraph" w:styleId="Heading3">
    <w:name w:val="heading 3"/>
    <w:basedOn w:val="Normal"/>
    <w:next w:val="Normal"/>
    <w:link w:val="Heading3Char"/>
    <w:semiHidden/>
    <w:unhideWhenUsed/>
    <w:qFormat/>
    <w:rsid w:val="00B26427"/>
    <w:pPr>
      <w:keepNext/>
      <w:ind w:left="1418" w:hanging="1418"/>
      <w:outlineLvl w:val="2"/>
    </w:pPr>
    <w:rPr>
      <w:rFonts w:ascii="Times New Roman" w:hAnsi="Times New Roman" w:cs="Times New Roman"/>
      <w:b/>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427"/>
    <w:rPr>
      <w:rFonts w:ascii="Times New Roman" w:eastAsia="Times New Roman" w:hAnsi="Times New Roman" w:cs="Times New Roman"/>
      <w:b/>
      <w:sz w:val="26"/>
      <w:szCs w:val="20"/>
      <w:lang w:eastAsia="zh-CN"/>
    </w:rPr>
  </w:style>
  <w:style w:type="character" w:customStyle="1" w:styleId="Heading3Char">
    <w:name w:val="Heading 3 Char"/>
    <w:basedOn w:val="DefaultParagraphFont"/>
    <w:link w:val="Heading3"/>
    <w:semiHidden/>
    <w:rsid w:val="00B26427"/>
    <w:rPr>
      <w:rFonts w:ascii="Times New Roman" w:eastAsia="Times New Roman" w:hAnsi="Times New Roman" w:cs="Times New Roman"/>
      <w:b/>
      <w:sz w:val="24"/>
      <w:szCs w:val="20"/>
      <w:lang w:eastAsia="zh-CN"/>
    </w:rPr>
  </w:style>
  <w:style w:type="paragraph" w:styleId="BodyText">
    <w:name w:val="Body Text"/>
    <w:basedOn w:val="Normal"/>
    <w:link w:val="BodyTextChar"/>
    <w:semiHidden/>
    <w:unhideWhenUsed/>
    <w:rsid w:val="00B26427"/>
    <w:pPr>
      <w:jc w:val="both"/>
    </w:pPr>
    <w:rPr>
      <w:rFonts w:ascii="Times New Roman" w:hAnsi="Times New Roman" w:cs="Times New Roman"/>
      <w:sz w:val="26"/>
      <w:szCs w:val="20"/>
      <w:lang w:eastAsia="zh-CN"/>
    </w:rPr>
  </w:style>
  <w:style w:type="character" w:customStyle="1" w:styleId="BodyTextChar">
    <w:name w:val="Body Text Char"/>
    <w:basedOn w:val="DefaultParagraphFont"/>
    <w:link w:val="BodyText"/>
    <w:semiHidden/>
    <w:rsid w:val="00B26427"/>
    <w:rPr>
      <w:rFonts w:ascii="Times New Roman" w:eastAsia="Times New Roman" w:hAnsi="Times New Roman" w:cs="Times New Roman"/>
      <w:sz w:val="26"/>
      <w:szCs w:val="20"/>
      <w:lang w:eastAsia="zh-CN"/>
    </w:rPr>
  </w:style>
  <w:style w:type="paragraph" w:customStyle="1" w:styleId="CharCharChar1CharCharChar1CharChar">
    <w:name w:val="Char Char Char1 Char Char Char1 Char Char"/>
    <w:basedOn w:val="Normal"/>
    <w:rsid w:val="00085FC8"/>
    <w:pPr>
      <w:tabs>
        <w:tab w:val="num" w:pos="2126"/>
      </w:tabs>
      <w:spacing w:after="160" w:line="240" w:lineRule="exact"/>
      <w:ind w:left="2126" w:hanging="567"/>
    </w:pPr>
    <w:rPr>
      <w:rFonts w:ascii="Times New Roman" w:hAnsi="Times New Roman" w:cs="Times New Roman"/>
      <w:sz w:val="24"/>
      <w:szCs w:val="20"/>
      <w:lang w:val="en-US"/>
    </w:rPr>
  </w:style>
  <w:style w:type="paragraph" w:styleId="BalloonText">
    <w:name w:val="Balloon Text"/>
    <w:basedOn w:val="Normal"/>
    <w:link w:val="BalloonTextChar"/>
    <w:uiPriority w:val="99"/>
    <w:semiHidden/>
    <w:unhideWhenUsed/>
    <w:rsid w:val="00FA5F2B"/>
    <w:rPr>
      <w:rFonts w:ascii="Tahoma" w:hAnsi="Tahoma" w:cs="Tahoma"/>
      <w:sz w:val="16"/>
      <w:szCs w:val="16"/>
    </w:rPr>
  </w:style>
  <w:style w:type="character" w:customStyle="1" w:styleId="BalloonTextChar">
    <w:name w:val="Balloon Text Char"/>
    <w:basedOn w:val="DefaultParagraphFont"/>
    <w:link w:val="BalloonText"/>
    <w:uiPriority w:val="99"/>
    <w:semiHidden/>
    <w:rsid w:val="00FA5F2B"/>
    <w:rPr>
      <w:rFonts w:ascii="Tahoma" w:eastAsia="Times New Roman" w:hAnsi="Tahoma" w:cs="Tahoma"/>
      <w:sz w:val="16"/>
      <w:szCs w:val="16"/>
      <w:lang w:eastAsia="hr-HR"/>
    </w:rPr>
  </w:style>
  <w:style w:type="paragraph" w:styleId="NoSpacing">
    <w:name w:val="No Spacing"/>
    <w:qFormat/>
    <w:rsid w:val="006E2734"/>
    <w:pPr>
      <w:spacing w:after="0" w:line="240" w:lineRule="auto"/>
    </w:pPr>
    <w:rPr>
      <w:rFonts w:eastAsia="Calibri" w:cs="Times New Roman"/>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27"/>
    <w:pPr>
      <w:spacing w:after="0" w:line="240" w:lineRule="auto"/>
    </w:pPr>
    <w:rPr>
      <w:rFonts w:eastAsia="Times New Roman"/>
      <w:lang w:eastAsia="hr-HR"/>
    </w:rPr>
  </w:style>
  <w:style w:type="paragraph" w:styleId="Heading1">
    <w:name w:val="heading 1"/>
    <w:basedOn w:val="Normal"/>
    <w:next w:val="Normal"/>
    <w:link w:val="Heading1Char"/>
    <w:qFormat/>
    <w:rsid w:val="00B26427"/>
    <w:pPr>
      <w:keepNext/>
      <w:ind w:left="4536"/>
      <w:outlineLvl w:val="0"/>
    </w:pPr>
    <w:rPr>
      <w:rFonts w:ascii="Times New Roman" w:hAnsi="Times New Roman" w:cs="Times New Roman"/>
      <w:b/>
      <w:sz w:val="26"/>
      <w:szCs w:val="20"/>
      <w:lang w:eastAsia="zh-CN"/>
    </w:rPr>
  </w:style>
  <w:style w:type="paragraph" w:styleId="Heading3">
    <w:name w:val="heading 3"/>
    <w:basedOn w:val="Normal"/>
    <w:next w:val="Normal"/>
    <w:link w:val="Heading3Char"/>
    <w:semiHidden/>
    <w:unhideWhenUsed/>
    <w:qFormat/>
    <w:rsid w:val="00B26427"/>
    <w:pPr>
      <w:keepNext/>
      <w:ind w:left="1418" w:hanging="1418"/>
      <w:outlineLvl w:val="2"/>
    </w:pPr>
    <w:rPr>
      <w:rFonts w:ascii="Times New Roman" w:hAnsi="Times New Roman" w:cs="Times New Roman"/>
      <w:b/>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427"/>
    <w:rPr>
      <w:rFonts w:ascii="Times New Roman" w:eastAsia="Times New Roman" w:hAnsi="Times New Roman" w:cs="Times New Roman"/>
      <w:b/>
      <w:sz w:val="26"/>
      <w:szCs w:val="20"/>
      <w:lang w:eastAsia="zh-CN"/>
    </w:rPr>
  </w:style>
  <w:style w:type="character" w:customStyle="1" w:styleId="Heading3Char">
    <w:name w:val="Heading 3 Char"/>
    <w:basedOn w:val="DefaultParagraphFont"/>
    <w:link w:val="Heading3"/>
    <w:semiHidden/>
    <w:rsid w:val="00B26427"/>
    <w:rPr>
      <w:rFonts w:ascii="Times New Roman" w:eastAsia="Times New Roman" w:hAnsi="Times New Roman" w:cs="Times New Roman"/>
      <w:b/>
      <w:sz w:val="24"/>
      <w:szCs w:val="20"/>
      <w:lang w:eastAsia="zh-CN"/>
    </w:rPr>
  </w:style>
  <w:style w:type="paragraph" w:styleId="BodyText">
    <w:name w:val="Body Text"/>
    <w:basedOn w:val="Normal"/>
    <w:link w:val="BodyTextChar"/>
    <w:semiHidden/>
    <w:unhideWhenUsed/>
    <w:rsid w:val="00B26427"/>
    <w:pPr>
      <w:jc w:val="both"/>
    </w:pPr>
    <w:rPr>
      <w:rFonts w:ascii="Times New Roman" w:hAnsi="Times New Roman" w:cs="Times New Roman"/>
      <w:sz w:val="26"/>
      <w:szCs w:val="20"/>
      <w:lang w:eastAsia="zh-CN"/>
    </w:rPr>
  </w:style>
  <w:style w:type="character" w:customStyle="1" w:styleId="BodyTextChar">
    <w:name w:val="Body Text Char"/>
    <w:basedOn w:val="DefaultParagraphFont"/>
    <w:link w:val="BodyText"/>
    <w:semiHidden/>
    <w:rsid w:val="00B26427"/>
    <w:rPr>
      <w:rFonts w:ascii="Times New Roman" w:eastAsia="Times New Roman" w:hAnsi="Times New Roman" w:cs="Times New Roman"/>
      <w:sz w:val="26"/>
      <w:szCs w:val="20"/>
      <w:lang w:eastAsia="zh-CN"/>
    </w:rPr>
  </w:style>
  <w:style w:type="paragraph" w:customStyle="1" w:styleId="CharCharChar1CharCharChar1CharChar">
    <w:name w:val="Char Char Char1 Char Char Char1 Char Char"/>
    <w:basedOn w:val="Normal"/>
    <w:rsid w:val="00085FC8"/>
    <w:pPr>
      <w:tabs>
        <w:tab w:val="num" w:pos="2126"/>
      </w:tabs>
      <w:spacing w:after="160" w:line="240" w:lineRule="exact"/>
      <w:ind w:left="2126" w:hanging="567"/>
    </w:pPr>
    <w:rPr>
      <w:rFonts w:ascii="Times New Roman" w:hAnsi="Times New Roman" w:cs="Times New Roman"/>
      <w:sz w:val="24"/>
      <w:szCs w:val="20"/>
      <w:lang w:val="en-US"/>
    </w:rPr>
  </w:style>
  <w:style w:type="paragraph" w:styleId="BalloonText">
    <w:name w:val="Balloon Text"/>
    <w:basedOn w:val="Normal"/>
    <w:link w:val="BalloonTextChar"/>
    <w:uiPriority w:val="99"/>
    <w:semiHidden/>
    <w:unhideWhenUsed/>
    <w:rsid w:val="00FA5F2B"/>
    <w:rPr>
      <w:rFonts w:ascii="Tahoma" w:hAnsi="Tahoma" w:cs="Tahoma"/>
      <w:sz w:val="16"/>
      <w:szCs w:val="16"/>
    </w:rPr>
  </w:style>
  <w:style w:type="character" w:customStyle="1" w:styleId="BalloonTextChar">
    <w:name w:val="Balloon Text Char"/>
    <w:basedOn w:val="DefaultParagraphFont"/>
    <w:link w:val="BalloonText"/>
    <w:uiPriority w:val="99"/>
    <w:semiHidden/>
    <w:rsid w:val="00FA5F2B"/>
    <w:rPr>
      <w:rFonts w:ascii="Tahoma" w:eastAsia="Times New Roman" w:hAnsi="Tahoma" w:cs="Tahoma"/>
      <w:sz w:val="16"/>
      <w:szCs w:val="16"/>
      <w:lang w:eastAsia="hr-HR"/>
    </w:rPr>
  </w:style>
  <w:style w:type="paragraph" w:styleId="NoSpacing">
    <w:name w:val="No Spacing"/>
    <w:qFormat/>
    <w:rsid w:val="006E2734"/>
    <w:pPr>
      <w:spacing w:after="0" w:line="240" w:lineRule="auto"/>
    </w:pPr>
    <w:rPr>
      <w:rFonts w:eastAsia="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59773">
      <w:bodyDiv w:val="1"/>
      <w:marLeft w:val="0"/>
      <w:marRight w:val="0"/>
      <w:marTop w:val="0"/>
      <w:marBottom w:val="0"/>
      <w:divBdr>
        <w:top w:val="none" w:sz="0" w:space="0" w:color="auto"/>
        <w:left w:val="none" w:sz="0" w:space="0" w:color="auto"/>
        <w:bottom w:val="none" w:sz="0" w:space="0" w:color="auto"/>
        <w:right w:val="none" w:sz="0" w:space="0" w:color="auto"/>
      </w:divBdr>
    </w:div>
    <w:div w:id="17668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Čadež</dc:creator>
  <cp:lastModifiedBy>Mario Kvesić</cp:lastModifiedBy>
  <cp:revision>2</cp:revision>
  <cp:lastPrinted>2015-10-07T13:02:00Z</cp:lastPrinted>
  <dcterms:created xsi:type="dcterms:W3CDTF">2017-07-31T14:01:00Z</dcterms:created>
  <dcterms:modified xsi:type="dcterms:W3CDTF">2017-07-31T14:01:00Z</dcterms:modified>
</cp:coreProperties>
</file>